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BE" w:rsidRPr="005234CE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</w:t>
      </w: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11.10.2016 № 710 «Про ефективне використання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державних коштів» (зі змінами)</w:t>
      </w:r>
    </w:p>
    <w:p w:rsidR="006E05BE" w:rsidRPr="008D4DBA" w:rsidRDefault="006E05BE" w:rsidP="006E05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3F67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Назва предмета закупівлі із зазначенням коду за Єдиним закупівельним словником</w:t>
      </w:r>
      <w:r w:rsidRPr="00A07E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:</w:t>
      </w:r>
      <w:r w:rsidRPr="00A07EBB">
        <w:rPr>
          <w:lang w:val="uk-UA"/>
        </w:rPr>
        <w:t xml:space="preserve"> </w:t>
      </w:r>
      <w:proofErr w:type="spellStart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Фармацевтична</w:t>
      </w:r>
      <w:proofErr w:type="spellEnd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продукція</w:t>
      </w:r>
      <w:proofErr w:type="spellEnd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ДК 021:2015: 33600000-6 </w:t>
      </w:r>
      <w:proofErr w:type="spellStart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Фармацевтична</w:t>
      </w:r>
      <w:proofErr w:type="spellEnd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продукція</w:t>
      </w:r>
      <w:proofErr w:type="spellEnd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Ідентифікатор закупівлі: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761E3" w:rsidRPr="000761E3">
        <w:rPr>
          <w:rFonts w:ascii="Times New Roman" w:eastAsia="Times New Roman" w:hAnsi="Times New Roman" w:cs="Times New Roman"/>
          <w:sz w:val="24"/>
          <w:szCs w:val="24"/>
          <w:lang w:val="uk-UA"/>
        </w:rPr>
        <w:t>UA-2024-02-15-009243-a</w:t>
      </w: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визначався згідно до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Державний бюджет України на 202</w:t>
      </w:r>
      <w:r w:rsidR="0087617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рік» за КПКВ  1001050 та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розподілу видатків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876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кошторису установи на</w:t>
      </w:r>
      <w:r w:rsidR="00CC3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="00876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</w:t>
      </w:r>
      <w:r w:rsidRPr="006E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доведен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 плану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асигнувань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05BE" w:rsidRPr="005D75F6" w:rsidRDefault="006E05BE" w:rsidP="00135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очікуваної вартості предмета закупівлі: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77A7" w:rsidRPr="006E6184" w:rsidRDefault="00B277A7" w:rsidP="00800C9D">
      <w:pPr>
        <w:spacing w:after="0" w:line="240" w:lineRule="auto"/>
        <w:ind w:firstLine="709"/>
        <w:contextualSpacing/>
        <w:jc w:val="both"/>
        <w:rPr>
          <w:lang w:val="uk-UA"/>
        </w:rPr>
      </w:pPr>
      <w:r w:rsidRPr="006E6184">
        <w:rPr>
          <w:rFonts w:ascii="Times New Roman" w:hAnsi="Times New Roman" w:cs="Times New Roman"/>
          <w:sz w:val="24"/>
          <w:szCs w:val="24"/>
          <w:lang w:val="uk-UA"/>
        </w:rPr>
        <w:t>Для визначення очікуваної вартості предмета закупівлі скористал</w:t>
      </w:r>
      <w:bookmarkStart w:id="0" w:name="_GoBack"/>
      <w:bookmarkEnd w:id="0"/>
      <w:r w:rsidRPr="00800C9D">
        <w:rPr>
          <w:rFonts w:ascii="Times New Roman" w:hAnsi="Times New Roman" w:cs="Times New Roman"/>
          <w:sz w:val="24"/>
          <w:szCs w:val="24"/>
          <w:lang w:val="uk-UA"/>
        </w:rPr>
        <w:t xml:space="preserve">ися </w:t>
      </w:r>
      <w:r w:rsidR="007D39D9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цін</w:t>
      </w:r>
      <w:r w:rsidR="000002A4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ами</w:t>
      </w:r>
      <w:r w:rsidR="007D39D9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що зазначені як</w:t>
      </w:r>
      <w:r w:rsidR="00B7120A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граничн</w:t>
      </w:r>
      <w:r w:rsidR="007D39D9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</w:t>
      </w:r>
      <w:r w:rsidR="00B7120A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оптово-відпускн</w:t>
      </w:r>
      <w:r w:rsidR="007D39D9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</w:t>
      </w:r>
      <w:r w:rsidR="00B7120A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на деякі лікарські засоби, що закуповуються за бюджетні кошти та підлягають референтному ціноутворенню, станом на 01 лютого 2023 року затвердженого наказом Міністерства охорони здоров’я України від 28 лютого 2023 року № 40</w:t>
      </w:r>
      <w:r w:rsidR="000C3F9D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8</w:t>
      </w:r>
      <w:r w:rsidR="00B7120A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 рамках виконання постанови Кабінету Міністрів України від 03 квітня 2019 року № 426 «Про референтне ціноутворення на деякі лікарські засоби, що закуповуються за бюджетні кошти</w:t>
      </w:r>
      <w:r w:rsidR="000002A4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». Таким чином очікувана вартість предмета закупівлі складає </w:t>
      </w:r>
      <w:r w:rsidR="00800C9D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2737,00 грн.</w:t>
      </w:r>
      <w:r w:rsidRPr="006E6184">
        <w:rPr>
          <w:lang w:val="uk-UA"/>
        </w:rPr>
        <w:t xml:space="preserve"> </w:t>
      </w:r>
    </w:p>
    <w:p w:rsidR="00ED4A65" w:rsidRDefault="00ED4A65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228FF" w:rsidRDefault="006E05BE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закупівлі: </w:t>
      </w:r>
    </w:p>
    <w:p w:rsidR="00A228FF" w:rsidRPr="00F1743A" w:rsidRDefault="00854480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ехнічні та якісні характеристики предмета закупівлі визначалися з урахуванням 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сфері охорони здоров’я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41CC0" w:rsidRDefault="00741CC0" w:rsidP="00741C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Предмет закупівлі повинен бути зареєстрованим в </w:t>
      </w:r>
      <w:r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му</w:t>
      </w:r>
      <w:r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реєстр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лікарських засобів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мати реєстраційне посвідчення, маркування на етикетці, мати інструкцію </w:t>
      </w:r>
      <w:r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для медичного застосування препарату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Термін придатності - не менше 80% від загального.</w:t>
      </w:r>
    </w:p>
    <w:p w:rsidR="00741CC0" w:rsidRDefault="00741CC0" w:rsidP="00741CC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характеристики: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1216"/>
        <w:gridCol w:w="5010"/>
        <w:gridCol w:w="1144"/>
        <w:gridCol w:w="568"/>
      </w:tblGrid>
      <w:tr w:rsidR="00306EC4" w:rsidRPr="000761E3" w:rsidTr="000761E3">
        <w:trPr>
          <w:trHeight w:val="114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0761E3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bookmarkStart w:id="1" w:name="_Hlk158618914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МНН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0761E3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АТХ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класифі-катор</w:t>
            </w:r>
            <w:proofErr w:type="spellEnd"/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0761E3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номенклатурної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позиції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предмета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, форма випуску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0761E3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Одиниці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0761E3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К-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сть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761E3" w:rsidRPr="000761E3" w:rsidTr="000761E3">
        <w:trPr>
          <w:trHeight w:val="311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E3" w:rsidRPr="000761E3" w:rsidRDefault="000761E3" w:rsidP="000761E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Midazolam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E3" w:rsidRPr="000761E3" w:rsidRDefault="000761E3" w:rsidP="000761E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N05CD08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E3" w:rsidRPr="000761E3" w:rsidRDefault="000761E3" w:rsidP="000761E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Мідазолам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розчин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д/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5 мг/мл по 3 мл №10 в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амп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E3" w:rsidRPr="000761E3" w:rsidRDefault="000761E3" w:rsidP="000761E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упак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E3" w:rsidRPr="000761E3" w:rsidRDefault="000761E3" w:rsidP="000761E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0761E3" w:rsidRPr="000761E3" w:rsidTr="000761E3">
        <w:trPr>
          <w:trHeight w:val="41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E3" w:rsidRPr="000761E3" w:rsidRDefault="000761E3" w:rsidP="000761E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Ketamine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E3" w:rsidRPr="000761E3" w:rsidRDefault="000761E3" w:rsidP="000761E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N01AX03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E3" w:rsidRPr="000761E3" w:rsidRDefault="000761E3" w:rsidP="000761E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Кетамін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-ЗН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розчин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д/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50 мг/мл по 2 мл №10 в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амп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E3" w:rsidRPr="000761E3" w:rsidRDefault="000761E3" w:rsidP="000761E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упак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E3" w:rsidRPr="000761E3" w:rsidRDefault="000761E3" w:rsidP="000761E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bookmarkEnd w:id="1"/>
    </w:tbl>
    <w:p w:rsidR="00741CC0" w:rsidRPr="00D7390F" w:rsidRDefault="00741CC0" w:rsidP="00741C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CC0" w:rsidRPr="00741CC0" w:rsidRDefault="00741CC0" w:rsidP="00741C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05BE" w:rsidRPr="00854480" w:rsidRDefault="006E05BE" w:rsidP="006E05BE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6E05BE" w:rsidRPr="00157DE5" w:rsidTr="0005632D">
        <w:trPr>
          <w:trHeight w:val="131"/>
        </w:trPr>
        <w:tc>
          <w:tcPr>
            <w:tcW w:w="3664" w:type="dxa"/>
          </w:tcPr>
          <w:p w:rsidR="006E05BE" w:rsidRPr="00157DE5" w:rsidRDefault="006E05BE" w:rsidP="00B7120A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157DE5">
              <w:rPr>
                <w:rFonts w:ascii="Times New Roman" w:hAnsi="Times New Roman" w:cs="Times New Roman"/>
                <w:b/>
              </w:rPr>
              <w:t>Уповноважена особа</w:t>
            </w:r>
            <w:r w:rsidR="00CD5CBD">
              <w:rPr>
                <w:rFonts w:ascii="Times New Roman" w:hAnsi="Times New Roman" w:cs="Times New Roman"/>
                <w:b/>
                <w:lang w:val="uk-UA"/>
              </w:rPr>
              <w:t>, фахівец</w:t>
            </w:r>
            <w:r w:rsidR="00B7120A">
              <w:rPr>
                <w:rFonts w:ascii="Times New Roman" w:hAnsi="Times New Roman" w:cs="Times New Roman"/>
                <w:b/>
                <w:lang w:val="uk-UA"/>
              </w:rPr>
              <w:t xml:space="preserve">ь з публічних закупівель </w:t>
            </w:r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ДУ «ТМО МВС </w:t>
            </w:r>
            <w:proofErr w:type="spellStart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України</w:t>
            </w:r>
            <w:proofErr w:type="spellEnd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по </w:t>
            </w:r>
            <w:proofErr w:type="spellStart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Чернігівській</w:t>
            </w:r>
            <w:proofErr w:type="spellEnd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області</w:t>
            </w:r>
            <w:proofErr w:type="spellEnd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157DE5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157DE5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57DE5">
              <w:rPr>
                <w:rFonts w:ascii="Times New Roman" w:hAnsi="Times New Roman" w:cs="Times New Roman"/>
                <w:b/>
                <w:bCs/>
                <w:u w:val="single"/>
              </w:rPr>
              <w:t>Галина ШЕВЧЕНКО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2E8" w:rsidRDefault="003032E8"/>
    <w:sectPr w:rsidR="003032E8" w:rsidSect="00ED4A65">
      <w:pgSz w:w="11906" w:h="16838"/>
      <w:pgMar w:top="1276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3BE"/>
    <w:multiLevelType w:val="multilevel"/>
    <w:tmpl w:val="B7D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7532"/>
    <w:multiLevelType w:val="hybridMultilevel"/>
    <w:tmpl w:val="B118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5622"/>
    <w:multiLevelType w:val="hybridMultilevel"/>
    <w:tmpl w:val="FCD643AC"/>
    <w:lvl w:ilvl="0" w:tplc="C0667982">
      <w:start w:val="5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6F"/>
    <w:rsid w:val="000002A4"/>
    <w:rsid w:val="0003227C"/>
    <w:rsid w:val="000761E3"/>
    <w:rsid w:val="000C3F9D"/>
    <w:rsid w:val="001350CA"/>
    <w:rsid w:val="00293759"/>
    <w:rsid w:val="002E2E11"/>
    <w:rsid w:val="003032E8"/>
    <w:rsid w:val="00306EC4"/>
    <w:rsid w:val="00411E34"/>
    <w:rsid w:val="004812C9"/>
    <w:rsid w:val="005555AF"/>
    <w:rsid w:val="005E2E6F"/>
    <w:rsid w:val="00687021"/>
    <w:rsid w:val="006E05BE"/>
    <w:rsid w:val="00741CC0"/>
    <w:rsid w:val="007D39D9"/>
    <w:rsid w:val="00800C9D"/>
    <w:rsid w:val="00854480"/>
    <w:rsid w:val="00876176"/>
    <w:rsid w:val="008D13BC"/>
    <w:rsid w:val="008E4C0E"/>
    <w:rsid w:val="00A07EBB"/>
    <w:rsid w:val="00A228FF"/>
    <w:rsid w:val="00A31E67"/>
    <w:rsid w:val="00AA5EAE"/>
    <w:rsid w:val="00B277A7"/>
    <w:rsid w:val="00B7120A"/>
    <w:rsid w:val="00BB7F48"/>
    <w:rsid w:val="00CC3F67"/>
    <w:rsid w:val="00CD5CBD"/>
    <w:rsid w:val="00D7390F"/>
    <w:rsid w:val="00D758C1"/>
    <w:rsid w:val="00EA49FF"/>
    <w:rsid w:val="00ED4A65"/>
    <w:rsid w:val="00EF1251"/>
    <w:rsid w:val="00F1743A"/>
    <w:rsid w:val="00F46367"/>
    <w:rsid w:val="00F55E03"/>
    <w:rsid w:val="00FF2F9A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58C8"/>
  <w15:chartTrackingRefBased/>
  <w15:docId w15:val="{6D11EE92-1306-461E-8DF9-E621BAE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05BE"/>
    <w:rPr>
      <w:color w:val="0000FF"/>
      <w:u w:val="single"/>
    </w:rPr>
  </w:style>
  <w:style w:type="table" w:styleId="a4">
    <w:name w:val="Table Grid"/>
    <w:basedOn w:val="a1"/>
    <w:uiPriority w:val="39"/>
    <w:rsid w:val="007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743A"/>
    <w:pPr>
      <w:ind w:left="720"/>
      <w:contextualSpacing/>
    </w:pPr>
  </w:style>
  <w:style w:type="paragraph" w:styleId="2">
    <w:name w:val="Body Text Indent 2"/>
    <w:basedOn w:val="a"/>
    <w:link w:val="20"/>
    <w:rsid w:val="00B712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ий текст з відступом 2 Знак"/>
    <w:basedOn w:val="a0"/>
    <w:link w:val="2"/>
    <w:rsid w:val="00B7120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rvts23">
    <w:name w:val="rvts23"/>
    <w:rsid w:val="00B7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286</Words>
  <Characters>1984</Characters>
  <Application>Microsoft Office Word</Application>
  <DocSecurity>0</DocSecurity>
  <Lines>64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420_5</cp:lastModifiedBy>
  <cp:revision>26</cp:revision>
  <dcterms:created xsi:type="dcterms:W3CDTF">2023-09-14T12:44:00Z</dcterms:created>
  <dcterms:modified xsi:type="dcterms:W3CDTF">2024-02-15T14:00:00Z</dcterms:modified>
</cp:coreProperties>
</file>